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AF1ABA" w:rsidTr="00AF1ABA">
        <w:trPr>
          <w:tblCellSpacing w:w="0" w:type="dxa"/>
          <w:jc w:val="center"/>
        </w:trPr>
        <w:tc>
          <w:tcPr>
            <w:tcW w:w="0" w:type="auto"/>
            <w:shd w:val="clear" w:color="auto" w:fill="FFFFFF"/>
            <w:vAlign w:val="center"/>
            <w:hideMark/>
          </w:tcPr>
          <w:p w:rsidR="00AF1ABA" w:rsidRDefault="00AF1ABA">
            <w:pPr>
              <w:pStyle w:val="Heading1"/>
              <w:spacing w:line="420" w:lineRule="atLeast"/>
              <w:rPr>
                <w:rFonts w:ascii="Arial" w:eastAsia="Times New Roman" w:hAnsi="Arial" w:cs="Arial"/>
                <w:color w:val="363535"/>
              </w:rPr>
            </w:pPr>
            <w:r>
              <w:rPr>
                <w:rFonts w:ascii="Arial" w:eastAsia="Times New Roman" w:hAnsi="Arial" w:cs="Arial"/>
                <w:color w:val="363535"/>
              </w:rPr>
              <w:t>Aboriginal consultation to reduce red tape</w:t>
            </w:r>
          </w:p>
          <w:p w:rsidR="00AF1ABA" w:rsidRDefault="00AF1ABA">
            <w:pPr>
              <w:rPr>
                <w:rFonts w:ascii="Arial" w:eastAsia="Times New Roman" w:hAnsi="Arial" w:cs="Arial"/>
                <w:color w:val="363535"/>
                <w:sz w:val="21"/>
                <w:szCs w:val="21"/>
              </w:rPr>
            </w:pPr>
            <w:r>
              <w:rPr>
                <w:rFonts w:ascii="Arial" w:eastAsia="Times New Roman" w:hAnsi="Arial" w:cs="Arial"/>
                <w:color w:val="363535"/>
                <w:sz w:val="21"/>
                <w:szCs w:val="21"/>
              </w:rPr>
              <w:t xml:space="preserve">January 22, 2020 </w:t>
            </w:r>
            <w:hyperlink w:anchor="media-contacts" w:history="1">
              <w:r>
                <w:rPr>
                  <w:rStyle w:val="Hyperlink"/>
                  <w:rFonts w:ascii="Arial" w:eastAsia="Times New Roman" w:hAnsi="Arial" w:cs="Arial"/>
                  <w:sz w:val="21"/>
                  <w:szCs w:val="21"/>
                </w:rPr>
                <w:t>Media inquiries</w:t>
              </w:r>
            </w:hyperlink>
          </w:p>
          <w:p w:rsidR="00AF1ABA" w:rsidRDefault="00AF1ABA">
            <w:pPr>
              <w:pStyle w:val="NormalWeb"/>
              <w:spacing w:line="341" w:lineRule="atLeast"/>
              <w:rPr>
                <w:rFonts w:ascii="Arial" w:hAnsi="Arial" w:cs="Arial"/>
                <w:color w:val="363535"/>
                <w:sz w:val="35"/>
                <w:szCs w:val="35"/>
              </w:rPr>
            </w:pPr>
            <w:r>
              <w:rPr>
                <w:rFonts w:ascii="Arial" w:hAnsi="Arial" w:cs="Arial"/>
                <w:color w:val="363535"/>
                <w:sz w:val="35"/>
                <w:szCs w:val="35"/>
              </w:rPr>
              <w:t>A new red tape reduction strategy aims to improve consultation for industry and Indigenous people.</w:t>
            </w:r>
          </w:p>
          <w:p w:rsidR="00AF1ABA" w:rsidRDefault="00AF1ABA">
            <w:pPr>
              <w:pStyle w:val="NormalWeb"/>
              <w:spacing w:line="348" w:lineRule="atLeast"/>
              <w:rPr>
                <w:rFonts w:ascii="Arial" w:hAnsi="Arial" w:cs="Arial"/>
                <w:color w:val="363535"/>
              </w:rPr>
            </w:pPr>
            <w:r>
              <w:rPr>
                <w:rFonts w:ascii="Arial" w:hAnsi="Arial" w:cs="Arial"/>
                <w:color w:val="363535"/>
              </w:rPr>
              <w:t>An updated guide – The Government of Alberta’s Proponent Guide to First Nations and Metis Settlement Consultation Procedures – outlines a more cost-effective and efficient application process for industry to follow when there is a legal duty to consult.</w:t>
            </w:r>
          </w:p>
          <w:p w:rsidR="00AF1ABA" w:rsidRDefault="00AF1ABA">
            <w:pPr>
              <w:pStyle w:val="NormalWeb"/>
              <w:spacing w:line="348" w:lineRule="atLeast"/>
              <w:rPr>
                <w:rFonts w:ascii="Arial" w:hAnsi="Arial" w:cs="Arial"/>
                <w:color w:val="363535"/>
              </w:rPr>
            </w:pPr>
            <w:r>
              <w:rPr>
                <w:rFonts w:ascii="Arial" w:hAnsi="Arial" w:cs="Arial"/>
                <w:color w:val="363535"/>
              </w:rPr>
              <w:t>A duty to consult is triggered when a development project may adversely affect treaty or Aboriginal rights, or cultural or harvesting practices.</w:t>
            </w:r>
          </w:p>
          <w:p w:rsidR="00AF1ABA" w:rsidRDefault="00AF1ABA" w:rsidP="00275650">
            <w:pPr>
              <w:pStyle w:val="NormalWeb"/>
              <w:spacing w:line="348" w:lineRule="atLeast"/>
              <w:ind w:left="720"/>
              <w:rPr>
                <w:rFonts w:ascii="Arial" w:hAnsi="Arial" w:cs="Arial"/>
                <w:color w:val="363535"/>
              </w:rPr>
            </w:pPr>
            <w:r>
              <w:rPr>
                <w:rFonts w:ascii="Arial" w:hAnsi="Arial" w:cs="Arial"/>
                <w:color w:val="363535"/>
              </w:rPr>
              <w:t>“We heard from industry that they wanted to take steps to improve the consultation process. This new guide not only responds to what industry told us, it benefits First Nations and Metis Settlements. The updated guide will help industry come to the table better prepared to address Indigenous people’s concerns. This will make the overall consultation process more effective, informed and respectful.”</w:t>
            </w:r>
          </w:p>
          <w:p w:rsidR="00AF1ABA" w:rsidRDefault="00AF1ABA" w:rsidP="00275650">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Rick Wilson, Minister of Indigenous Relations</w:t>
            </w:r>
            <w:r>
              <w:rPr>
                <w:rFonts w:ascii="Arial" w:eastAsia="Times New Roman" w:hAnsi="Arial" w:cs="Arial"/>
                <w:color w:val="363535"/>
                <w:sz w:val="24"/>
                <w:szCs w:val="24"/>
              </w:rPr>
              <w:t xml:space="preserve"> </w:t>
            </w:r>
          </w:p>
          <w:p w:rsidR="00AF1ABA" w:rsidRDefault="00AF1ABA">
            <w:pPr>
              <w:pStyle w:val="NormalWeb"/>
              <w:spacing w:line="348" w:lineRule="atLeast"/>
              <w:rPr>
                <w:rFonts w:ascii="Arial" w:hAnsi="Arial" w:cs="Arial"/>
                <w:color w:val="363535"/>
              </w:rPr>
            </w:pPr>
            <w:r>
              <w:rPr>
                <w:rFonts w:ascii="Arial" w:hAnsi="Arial" w:cs="Arial"/>
                <w:color w:val="363535"/>
              </w:rPr>
              <w:t>The Aboriginal Consultation Office (ACO) will provide training for industry on the changes in process outlined in the guide.</w:t>
            </w:r>
            <w:bookmarkStart w:id="0" w:name="_GoBack"/>
            <w:bookmarkEnd w:id="0"/>
          </w:p>
          <w:p w:rsidR="00AF1ABA" w:rsidRDefault="00AF1ABA">
            <w:pPr>
              <w:pStyle w:val="NormalWeb"/>
              <w:spacing w:line="348" w:lineRule="atLeast"/>
              <w:rPr>
                <w:rFonts w:ascii="Arial" w:hAnsi="Arial" w:cs="Arial"/>
                <w:color w:val="363535"/>
              </w:rPr>
            </w:pPr>
            <w:r>
              <w:rPr>
                <w:rFonts w:ascii="Arial" w:hAnsi="Arial" w:cs="Arial"/>
                <w:color w:val="363535"/>
              </w:rPr>
              <w:t>Reducing red tape will improve the consultation process by:</w:t>
            </w:r>
          </w:p>
          <w:p w:rsidR="00AF1ABA" w:rsidRDefault="00AF1ABA" w:rsidP="00C4059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Providing a clearer application process to improve overall consultation and give industry and Indigenous communities more certainty when moving development projects forward.</w:t>
            </w:r>
          </w:p>
          <w:p w:rsidR="00AF1ABA" w:rsidRDefault="00AF1ABA" w:rsidP="00C4059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Reducing delays and costs to industry proponents by ensuring their applications have little chance of having to be returned due to lack of information or errors.  </w:t>
            </w:r>
          </w:p>
          <w:p w:rsidR="00AF1ABA" w:rsidRDefault="00AF1ABA" w:rsidP="00C4059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Ensuring the ACO can better respond to industry needs while increasing the number of applications processed.</w:t>
            </w:r>
          </w:p>
          <w:p w:rsidR="00AF1ABA" w:rsidRDefault="00AF1ABA" w:rsidP="00C4059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Moving more quickly to the development stage of proposed projects.</w:t>
            </w:r>
          </w:p>
          <w:p w:rsidR="00AF1ABA" w:rsidRDefault="00AF1ABA" w:rsidP="00275650">
            <w:pPr>
              <w:pStyle w:val="NormalWeb"/>
              <w:spacing w:line="348" w:lineRule="atLeast"/>
              <w:ind w:left="360"/>
              <w:rPr>
                <w:rFonts w:ascii="Arial" w:hAnsi="Arial" w:cs="Arial"/>
                <w:color w:val="363535"/>
              </w:rPr>
            </w:pPr>
            <w:r>
              <w:rPr>
                <w:rFonts w:ascii="Arial" w:hAnsi="Arial" w:cs="Arial"/>
                <w:color w:val="363535"/>
              </w:rPr>
              <w:lastRenderedPageBreak/>
              <w:t>“These changes should help make consultation more efficient. We believe it will also help us be better prepared when working with Indigenous Peoples on important matters such as treaty or Aboriginal rights and harvesting and cultural practices. We want a process that benefits everyone.”</w:t>
            </w:r>
          </w:p>
          <w:p w:rsidR="00AF1ABA" w:rsidRDefault="00AF1ABA" w:rsidP="00275650">
            <w:pPr>
              <w:spacing w:line="348" w:lineRule="atLeast"/>
              <w:ind w:left="360"/>
              <w:rPr>
                <w:rFonts w:ascii="Arial" w:eastAsia="Times New Roman" w:hAnsi="Arial" w:cs="Arial"/>
                <w:color w:val="363535"/>
                <w:sz w:val="24"/>
                <w:szCs w:val="24"/>
              </w:rPr>
            </w:pPr>
            <w:r>
              <w:rPr>
                <w:rStyle w:val="Emphasis"/>
                <w:rFonts w:ascii="Arial" w:eastAsia="Times New Roman" w:hAnsi="Arial" w:cs="Arial"/>
                <w:color w:val="363535"/>
                <w:sz w:val="24"/>
                <w:szCs w:val="24"/>
              </w:rPr>
              <w:t>Al Reid, executive vice-president, Stakeholder Engagement, Safety, Legal &amp; General Counsel, Cenovus Energy Inc.</w:t>
            </w:r>
            <w:r>
              <w:rPr>
                <w:rFonts w:ascii="Arial" w:eastAsia="Times New Roman" w:hAnsi="Arial" w:cs="Arial"/>
                <w:color w:val="363535"/>
                <w:sz w:val="24"/>
                <w:szCs w:val="24"/>
              </w:rPr>
              <w:t xml:space="preserve"> </w:t>
            </w:r>
          </w:p>
          <w:p w:rsidR="00AF1ABA" w:rsidRDefault="00AF1ABA">
            <w:pPr>
              <w:pStyle w:val="Heading2"/>
              <w:spacing w:line="348" w:lineRule="atLeast"/>
              <w:rPr>
                <w:rFonts w:ascii="Arial" w:eastAsia="Times New Roman" w:hAnsi="Arial" w:cs="Arial"/>
                <w:color w:val="363535"/>
              </w:rPr>
            </w:pPr>
            <w:r>
              <w:rPr>
                <w:rFonts w:ascii="Arial" w:eastAsia="Times New Roman" w:hAnsi="Arial" w:cs="Arial"/>
                <w:color w:val="363535"/>
              </w:rPr>
              <w:t>Red Tape Reduction Awareness Week</w:t>
            </w:r>
          </w:p>
          <w:p w:rsidR="00AF1ABA" w:rsidRDefault="00AF1ABA">
            <w:pPr>
              <w:pStyle w:val="NormalWeb"/>
              <w:spacing w:line="348" w:lineRule="atLeast"/>
              <w:rPr>
                <w:rFonts w:ascii="Arial" w:hAnsi="Arial" w:cs="Arial"/>
                <w:color w:val="363535"/>
              </w:rPr>
            </w:pPr>
            <w:r>
              <w:rPr>
                <w:rFonts w:ascii="Arial" w:hAnsi="Arial" w:cs="Arial"/>
                <w:color w:val="363535"/>
              </w:rPr>
              <w:t>Alberta has </w:t>
            </w:r>
            <w:hyperlink r:id="rId5" w:history="1">
              <w:r>
                <w:rPr>
                  <w:rStyle w:val="Hyperlink"/>
                  <w:rFonts w:ascii="Arial" w:hAnsi="Arial" w:cs="Arial"/>
                </w:rPr>
                <w:t>declared Jan. 20-24 Red Tape Reduction Awareness Week</w:t>
              </w:r>
            </w:hyperlink>
            <w:r>
              <w:rPr>
                <w:rFonts w:ascii="Arial" w:hAnsi="Arial" w:cs="Arial"/>
                <w:color w:val="363535"/>
              </w:rPr>
              <w:t>. This coincides with the Canadian Federation of Independent Business’s own Red Tape Awareness Week, which aims to raise awareness of the costs of regulatory burdens to businesses across Canada. This year, the CFIB gave Alberta B-minus for its efforts to cut red tape, the highest grade the province has ever achieved.</w:t>
            </w:r>
          </w:p>
          <w:p w:rsidR="00AF1ABA" w:rsidRDefault="00AF1ABA">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AF1ABA" w:rsidRDefault="00AF1ABA" w:rsidP="00C4059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 2018-19 the ACO processed 7,400 applications.</w:t>
            </w:r>
          </w:p>
          <w:p w:rsidR="00AF1ABA" w:rsidRDefault="00AF1ABA" w:rsidP="00C4059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guide will provide proponents with consultation information and advice specific to Alberta Energy Regulator-administered activities under the </w:t>
            </w:r>
            <w:r>
              <w:rPr>
                <w:rStyle w:val="Emphasis"/>
                <w:rFonts w:ascii="Arial" w:eastAsia="Times New Roman" w:hAnsi="Arial" w:cs="Arial"/>
                <w:color w:val="363535"/>
                <w:sz w:val="24"/>
                <w:szCs w:val="24"/>
              </w:rPr>
              <w:t>Public Lands Act</w:t>
            </w:r>
            <w:r>
              <w:rPr>
                <w:rFonts w:ascii="Arial" w:eastAsia="Times New Roman" w:hAnsi="Arial" w:cs="Arial"/>
                <w:color w:val="363535"/>
                <w:sz w:val="24"/>
                <w:szCs w:val="24"/>
              </w:rPr>
              <w:t xml:space="preserve">, </w:t>
            </w:r>
            <w:r>
              <w:rPr>
                <w:rStyle w:val="Emphasis"/>
                <w:rFonts w:ascii="Arial" w:eastAsia="Times New Roman" w:hAnsi="Arial" w:cs="Arial"/>
                <w:color w:val="363535"/>
                <w:sz w:val="24"/>
                <w:szCs w:val="24"/>
              </w:rPr>
              <w:t xml:space="preserve">Water Act </w:t>
            </w:r>
            <w:r>
              <w:rPr>
                <w:rFonts w:ascii="Arial" w:eastAsia="Times New Roman" w:hAnsi="Arial" w:cs="Arial"/>
                <w:color w:val="363535"/>
                <w:sz w:val="24"/>
                <w:szCs w:val="24"/>
              </w:rPr>
              <w:t>and</w:t>
            </w:r>
            <w:r>
              <w:rPr>
                <w:rStyle w:val="Emphasis"/>
                <w:rFonts w:ascii="Arial" w:eastAsia="Times New Roman" w:hAnsi="Arial" w:cs="Arial"/>
                <w:color w:val="363535"/>
                <w:sz w:val="24"/>
                <w:szCs w:val="24"/>
              </w:rPr>
              <w:t xml:space="preserve"> Environmental Protection</w:t>
            </w:r>
            <w:r>
              <w:rPr>
                <w:rFonts w:ascii="Arial" w:eastAsia="Times New Roman" w:hAnsi="Arial" w:cs="Arial"/>
                <w:color w:val="363535"/>
                <w:sz w:val="24"/>
                <w:szCs w:val="24"/>
              </w:rPr>
              <w:t xml:space="preserve"> </w:t>
            </w:r>
            <w:r>
              <w:rPr>
                <w:rStyle w:val="Emphasis"/>
                <w:rFonts w:ascii="Arial" w:eastAsia="Times New Roman" w:hAnsi="Arial" w:cs="Arial"/>
                <w:color w:val="363535"/>
                <w:sz w:val="24"/>
                <w:szCs w:val="24"/>
              </w:rPr>
              <w:t>and</w:t>
            </w:r>
            <w:r>
              <w:rPr>
                <w:rFonts w:ascii="Arial" w:eastAsia="Times New Roman" w:hAnsi="Arial" w:cs="Arial"/>
                <w:color w:val="363535"/>
                <w:sz w:val="24"/>
                <w:szCs w:val="24"/>
              </w:rPr>
              <w:t xml:space="preserve"> </w:t>
            </w:r>
            <w:r>
              <w:rPr>
                <w:rStyle w:val="Emphasis"/>
                <w:rFonts w:ascii="Arial" w:eastAsia="Times New Roman" w:hAnsi="Arial" w:cs="Arial"/>
                <w:color w:val="363535"/>
                <w:sz w:val="24"/>
                <w:szCs w:val="24"/>
              </w:rPr>
              <w:t>Enhancement Act</w:t>
            </w:r>
            <w:r>
              <w:rPr>
                <w:rFonts w:ascii="Arial" w:eastAsia="Times New Roman" w:hAnsi="Arial" w:cs="Arial"/>
                <w:color w:val="363535"/>
                <w:sz w:val="24"/>
                <w:szCs w:val="24"/>
              </w:rPr>
              <w:t xml:space="preserve">, which are processed through the </w:t>
            </w:r>
            <w:r>
              <w:rPr>
                <w:rStyle w:val="Emphasis"/>
                <w:rFonts w:ascii="Arial" w:eastAsia="Times New Roman" w:hAnsi="Arial" w:cs="Arial"/>
                <w:color w:val="363535"/>
                <w:sz w:val="24"/>
                <w:szCs w:val="24"/>
              </w:rPr>
              <w:t>Electronic Disposition Act</w:t>
            </w:r>
            <w:r>
              <w:rPr>
                <w:rFonts w:ascii="Arial" w:eastAsia="Times New Roman" w:hAnsi="Arial" w:cs="Arial"/>
                <w:color w:val="363535"/>
                <w:sz w:val="24"/>
                <w:szCs w:val="24"/>
              </w:rPr>
              <w:t>.</w:t>
            </w:r>
          </w:p>
          <w:p w:rsidR="00AF1ABA" w:rsidRDefault="00AF1ABA" w:rsidP="00C4059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w:t>
            </w:r>
            <w:hyperlink r:id="rId6" w:history="1">
              <w:r>
                <w:rPr>
                  <w:rStyle w:val="Hyperlink"/>
                  <w:rFonts w:ascii="Arial" w:eastAsia="Times New Roman" w:hAnsi="Arial" w:cs="Arial"/>
                  <w:sz w:val="24"/>
                  <w:szCs w:val="24"/>
                </w:rPr>
                <w:t>CutRedTape.Alberta.ca</w:t>
              </w:r>
            </w:hyperlink>
            <w:r>
              <w:rPr>
                <w:rFonts w:ascii="Arial" w:eastAsia="Times New Roman" w:hAnsi="Arial" w:cs="Arial"/>
                <w:color w:val="363535"/>
                <w:sz w:val="24"/>
                <w:szCs w:val="24"/>
              </w:rPr>
              <w:t> has received more than 4,500 submissions.</w:t>
            </w:r>
          </w:p>
          <w:p w:rsidR="00AF1ABA" w:rsidRDefault="00AF1ABA" w:rsidP="00C4059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Ministries are currently taking inventory and analyzing the regulatory burden imposed on Albertans and businesses, modernizing regulation requirements, processes, forms and policies, and eliminating those that are unnecessary.</w:t>
            </w:r>
          </w:p>
          <w:p w:rsidR="00AF1ABA" w:rsidRDefault="00AF1ABA" w:rsidP="00C40590">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Canadian Federation of Independent Business estimates that in 2017, the cost for businesses in Alberta to comply with regulations was about $4.4 billion.</w:t>
            </w:r>
          </w:p>
          <w:p w:rsidR="00AF1ABA" w:rsidRDefault="00AF1ABA">
            <w:pPr>
              <w:pStyle w:val="Heading2"/>
              <w:spacing w:line="348" w:lineRule="atLeast"/>
              <w:rPr>
                <w:rFonts w:ascii="Arial" w:eastAsia="Times New Roman" w:hAnsi="Arial" w:cs="Arial"/>
                <w:color w:val="363535"/>
              </w:rPr>
            </w:pPr>
            <w:r>
              <w:rPr>
                <w:rFonts w:ascii="Arial" w:eastAsia="Times New Roman" w:hAnsi="Arial" w:cs="Arial"/>
                <w:color w:val="363535"/>
              </w:rPr>
              <w:t>Related information</w:t>
            </w:r>
          </w:p>
          <w:p w:rsidR="00AF1ABA" w:rsidRDefault="00AF1ABA" w:rsidP="00C40590">
            <w:pPr>
              <w:numPr>
                <w:ilvl w:val="0"/>
                <w:numId w:val="3"/>
              </w:numPr>
              <w:spacing w:before="100" w:beforeAutospacing="1" w:after="100" w:afterAutospacing="1" w:line="348" w:lineRule="atLeast"/>
              <w:rPr>
                <w:rFonts w:ascii="Arial" w:eastAsia="Times New Roman" w:hAnsi="Arial" w:cs="Arial"/>
                <w:color w:val="363535"/>
                <w:sz w:val="24"/>
                <w:szCs w:val="24"/>
              </w:rPr>
            </w:pPr>
            <w:hyperlink r:id="rId7" w:history="1">
              <w:r>
                <w:rPr>
                  <w:rStyle w:val="Hyperlink"/>
                  <w:rFonts w:ascii="Arial" w:eastAsia="Times New Roman" w:hAnsi="Arial" w:cs="Arial"/>
                  <w:sz w:val="24"/>
                  <w:szCs w:val="24"/>
                </w:rPr>
                <w:t>The Government of Alberta’s Proponent Guide to First Nations and Metis Settlements Consultation Procedures</w:t>
              </w:r>
            </w:hyperlink>
            <w:r>
              <w:rPr>
                <w:rFonts w:ascii="Arial" w:eastAsia="Times New Roman" w:hAnsi="Arial" w:cs="Arial"/>
                <w:color w:val="363535"/>
                <w:sz w:val="24"/>
                <w:szCs w:val="24"/>
              </w:rPr>
              <w:t xml:space="preserve"> (PDF)</w:t>
            </w:r>
          </w:p>
          <w:p w:rsidR="00AF1ABA" w:rsidRDefault="00AF1ABA">
            <w:pPr>
              <w:rPr>
                <w:rFonts w:ascii="Arial" w:eastAsia="Times New Roman" w:hAnsi="Arial" w:cs="Arial"/>
                <w:color w:val="363535"/>
                <w:sz w:val="21"/>
                <w:szCs w:val="21"/>
              </w:rPr>
            </w:pPr>
            <w:r>
              <w:rPr>
                <w:rFonts w:ascii="Arial" w:eastAsia="Times New Roman" w:hAnsi="Arial" w:cs="Arial"/>
                <w:color w:val="363535"/>
                <w:sz w:val="21"/>
                <w:szCs w:val="21"/>
              </w:rPr>
              <w:br/>
            </w:r>
          </w:p>
          <w:p w:rsidR="00AF1ABA" w:rsidRDefault="00AF1ABA">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AF1ABA" w:rsidRDefault="00AF1ABA">
            <w:pPr>
              <w:pStyle w:val="Heading3"/>
              <w:rPr>
                <w:rFonts w:ascii="Arial" w:eastAsia="Times New Roman" w:hAnsi="Arial" w:cs="Arial"/>
                <w:color w:val="363535"/>
              </w:rPr>
            </w:pPr>
            <w:hyperlink r:id="rId8" w:tgtFrame="_blank" w:history="1">
              <w:r>
                <w:rPr>
                  <w:rStyle w:val="Hyperlink"/>
                  <w:rFonts w:ascii="Arial" w:eastAsia="Times New Roman" w:hAnsi="Arial" w:cs="Arial"/>
                </w:rPr>
                <w:t xml:space="preserve">Ted Bauer </w:t>
              </w:r>
            </w:hyperlink>
          </w:p>
          <w:p w:rsidR="00AF1ABA" w:rsidRDefault="00AF1ABA">
            <w:pPr>
              <w:rPr>
                <w:rFonts w:ascii="Arial" w:eastAsia="Times New Roman" w:hAnsi="Arial" w:cs="Arial"/>
                <w:color w:val="363535"/>
                <w:sz w:val="21"/>
                <w:szCs w:val="21"/>
              </w:rPr>
            </w:pPr>
            <w:r>
              <w:rPr>
                <w:rFonts w:ascii="Arial" w:eastAsia="Times New Roman" w:hAnsi="Arial" w:cs="Arial"/>
                <w:color w:val="363535"/>
                <w:sz w:val="21"/>
                <w:szCs w:val="21"/>
              </w:rPr>
              <w:t xml:space="preserve">780-638-9287 </w:t>
            </w:r>
            <w:r>
              <w:rPr>
                <w:rFonts w:ascii="Arial" w:eastAsia="Times New Roman" w:hAnsi="Arial" w:cs="Arial"/>
                <w:color w:val="363535"/>
                <w:sz w:val="21"/>
                <w:szCs w:val="21"/>
              </w:rPr>
              <w:br/>
              <w:t xml:space="preserve">Press Secretary, Indigenous Relations </w:t>
            </w:r>
          </w:p>
        </w:tc>
      </w:tr>
      <w:tr w:rsidR="00AF1ABA" w:rsidTr="00AF1ABA">
        <w:trPr>
          <w:tblCellSpacing w:w="0" w:type="dxa"/>
          <w:jc w:val="center"/>
        </w:trPr>
        <w:tc>
          <w:tcPr>
            <w:tcW w:w="0" w:type="auto"/>
            <w:shd w:val="clear" w:color="auto" w:fill="FFFFFF"/>
            <w:vAlign w:val="center"/>
            <w:hideMark/>
          </w:tcPr>
          <w:p w:rsidR="00AF1ABA" w:rsidRDefault="00AF1ABA">
            <w:pPr>
              <w:rPr>
                <w:rFonts w:ascii="Arial" w:eastAsia="Times New Roman" w:hAnsi="Arial" w:cs="Arial"/>
                <w:color w:val="363535"/>
                <w:sz w:val="21"/>
                <w:szCs w:val="21"/>
              </w:rPr>
            </w:pPr>
          </w:p>
        </w:tc>
      </w:tr>
    </w:tbl>
    <w:p w:rsidR="004D4A15" w:rsidRDefault="004D4A15"/>
    <w:sectPr w:rsidR="004D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9FF"/>
    <w:multiLevelType w:val="multilevel"/>
    <w:tmpl w:val="0A3AB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0C0E"/>
    <w:multiLevelType w:val="multilevel"/>
    <w:tmpl w:val="2B0A7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F41EB"/>
    <w:multiLevelType w:val="multilevel"/>
    <w:tmpl w:val="117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BA"/>
    <w:rsid w:val="00275650"/>
    <w:rsid w:val="004D4A15"/>
    <w:rsid w:val="00A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57EA"/>
  <w15:chartTrackingRefBased/>
  <w15:docId w15:val="{9E0FB800-CF85-4E27-A0B0-41ECE009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ABA"/>
    <w:pPr>
      <w:spacing w:after="0" w:line="240" w:lineRule="auto"/>
    </w:pPr>
    <w:rPr>
      <w:rFonts w:ascii="Calibri" w:hAnsi="Calibri" w:cs="Calibri"/>
    </w:rPr>
  </w:style>
  <w:style w:type="paragraph" w:styleId="Heading1">
    <w:name w:val="heading 1"/>
    <w:basedOn w:val="Normal"/>
    <w:link w:val="Heading1Char"/>
    <w:uiPriority w:val="9"/>
    <w:qFormat/>
    <w:rsid w:val="00AF1A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F1AB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F1A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AB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F1ABA"/>
    <w:rPr>
      <w:rFonts w:ascii="Calibri" w:hAnsi="Calibri" w:cs="Calibri"/>
      <w:b/>
      <w:bCs/>
      <w:sz w:val="36"/>
      <w:szCs w:val="36"/>
    </w:rPr>
  </w:style>
  <w:style w:type="character" w:customStyle="1" w:styleId="Heading3Char">
    <w:name w:val="Heading 3 Char"/>
    <w:basedOn w:val="DefaultParagraphFont"/>
    <w:link w:val="Heading3"/>
    <w:uiPriority w:val="9"/>
    <w:semiHidden/>
    <w:rsid w:val="00AF1ABA"/>
    <w:rPr>
      <w:rFonts w:ascii="Calibri" w:hAnsi="Calibri" w:cs="Calibri"/>
      <w:b/>
      <w:bCs/>
      <w:sz w:val="27"/>
      <w:szCs w:val="27"/>
    </w:rPr>
  </w:style>
  <w:style w:type="character" w:styleId="Hyperlink">
    <w:name w:val="Hyperlink"/>
    <w:basedOn w:val="DefaultParagraphFont"/>
    <w:uiPriority w:val="99"/>
    <w:semiHidden/>
    <w:unhideWhenUsed/>
    <w:rsid w:val="00AF1ABA"/>
    <w:rPr>
      <w:strike w:val="0"/>
      <w:dstrike w:val="0"/>
      <w:color w:val="0082C7"/>
      <w:u w:val="none"/>
      <w:effect w:val="none"/>
    </w:rPr>
  </w:style>
  <w:style w:type="paragraph" w:styleId="NormalWeb">
    <w:name w:val="Normal (Web)"/>
    <w:basedOn w:val="Normal"/>
    <w:uiPriority w:val="99"/>
    <w:semiHidden/>
    <w:unhideWhenUsed/>
    <w:rsid w:val="00AF1ABA"/>
    <w:pPr>
      <w:spacing w:before="100" w:beforeAutospacing="1" w:after="100" w:afterAutospacing="1"/>
    </w:pPr>
    <w:rPr>
      <w:sz w:val="23"/>
      <w:szCs w:val="23"/>
    </w:rPr>
  </w:style>
  <w:style w:type="character" w:styleId="Emphasis">
    <w:name w:val="Emphasis"/>
    <w:basedOn w:val="DefaultParagraphFont"/>
    <w:uiPriority w:val="20"/>
    <w:qFormat/>
    <w:rsid w:val="00AF1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Bauer@gov.ab.ca%20" TargetMode="External"/><Relationship Id="rId3" Type="http://schemas.openxmlformats.org/officeDocument/2006/relationships/settings" Target="settings.xml"/><Relationship Id="rId7" Type="http://schemas.openxmlformats.org/officeDocument/2006/relationships/hyperlink" Target="https://open.alberta.ca/dataset/27af23c5-e71a-482d-9d49-afdb0ec8064e/resource/73b6152a-d449-4bf6-9b67-4093b8dc9f63/download/ir-goa-proponent-guide-to-first-nations-and-metis-settlements-consultation-procedures-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tredtape.alberta.ca/" TargetMode="External"/><Relationship Id="rId5" Type="http://schemas.openxmlformats.org/officeDocument/2006/relationships/hyperlink" Target="https://www.alberta.ca/release.cfm?xID=67448A73329AB-B74C-0527-5C70E0337660F0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2020-01-22T19:53:00Z</dcterms:created>
  <dcterms:modified xsi:type="dcterms:W3CDTF">2020-01-22T19:53:00Z</dcterms:modified>
</cp:coreProperties>
</file>